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rFonts w:ascii="Aptos" w:hAnsi="Aptos"/>
          <w:b/>
          <w:bCs/>
          <w:sz w:val="36"/>
          <w:szCs w:val="36"/>
        </w:rPr>
        <w:t xml:space="preserve">REGISTAR RIZIKA I PRILIKA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Tvrtka: </w:t>
      </w:r>
      <w:r>
        <w:rPr>
          <w:rFonts w:ascii="Aptos" w:hAnsi="Aptos"/>
          <w:sz w:val="22"/>
          <w:szCs w:val="22"/>
        </w:rPr>
        <w:t xml:space="preserve">TEHMA d.o.o., Zadar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Oznaka dokumenta: </w:t>
      </w:r>
      <w:r>
        <w:rPr>
          <w:rFonts w:ascii="Aptos" w:hAnsi="Aptos"/>
          <w:sz w:val="22"/>
          <w:szCs w:val="22"/>
        </w:rPr>
        <w:t xml:space="preserve">RIZ-IMS-01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Verzija: 1.2</w:t>
      </w:r>
      <w:r>
        <w:rPr>
          <w:rFonts w:ascii="Aptos" w:hAnsi="Aptos"/>
          <w:sz w:val="22"/>
          <w:szCs w:val="22"/>
        </w:rPr>
        <w:t xml:space="preserve"/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 izdavanja: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Vlasnik dokumenta: </w:t>
      </w:r>
      <w:r>
        <w:rPr>
          <w:rFonts w:ascii="Aptos" w:hAnsi="Aptos"/>
          <w:sz w:val="22"/>
          <w:szCs w:val="22"/>
        </w:rPr>
        <w:t xml:space="preserve">Predstavnik uprave (MR); nositelji rizika i prilika navedeni su u registru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Status: </w:t>
      </w:r>
      <w:r>
        <w:rPr>
          <w:rFonts w:ascii="Aptos" w:hAnsi="Aptos"/>
          <w:sz w:val="22"/>
          <w:szCs w:val="22"/>
        </w:rPr>
        <w:t xml:space="preserve">Kontrolirani dokument, jedini mjerodavni registar rizika i prilika IMS-a (elektronička verzija je mjerodavna)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Rok čuvanja: </w:t>
      </w:r>
      <w:r>
        <w:rPr>
          <w:rFonts w:ascii="Aptos" w:hAnsi="Aptos"/>
          <w:sz w:val="22"/>
          <w:szCs w:val="22"/>
        </w:rPr>
        <w:t xml:space="preserve">Trajno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Odobrio: </w:t>
      </w:r>
      <w:r>
        <w:rPr>
          <w:rFonts w:ascii="Aptos" w:hAnsi="Aptos"/>
          <w:sz w:val="22"/>
          <w:szCs w:val="22"/>
        </w:rPr>
        <w:t xml:space="preserve">Direktor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Datum zadnjeg preispitivanja registra: </w:t>
      </w:r>
      <w:r>
        <w:rPr>
          <w:rFonts w:ascii="Aptos" w:hAnsi="Aptos"/>
          <w:sz w:val="22"/>
          <w:szCs w:val="22"/>
        </w:rPr>
        <w:t xml:space="preserve">25.09.2026.</w:t>
      </w:r>
    </w:p>
    <w:p>
      <w:pPr>
        <w:keepNext/>
        <w:spacing w:after="60" w:before="160"/>
        <w:jc w:val="both"/>
      </w:pPr>
      <w:r>
        <w:rPr>
          <w:rFonts w:ascii="Aptos" w:hAnsi="Aptos"/>
          <w:b/>
          <w:bCs/>
          <w:sz w:val="22"/>
          <w:szCs w:val="22"/>
        </w:rPr>
        <w:t xml:space="preserve">Povijest izmjena</w:t>
      </w:r>
    </w:p>
    <w:tbl>
      <w:tblPr>
        <w:tblStyle w:val="GridTable3-Accent2"/>
        <w:tblW w:w="9100" w:type="dxa"/>
        <w:tblLayout w:type="fixed"/>
        <w:tblLook w:firstColumn="0" w:firstRow="1" w:lastColumn="0" w:lastRow="0" w:noHBand="0" w:noVBand="1" w:val="04A0"/>
      </w:tblPr>
      <w:tblGrid>
        <w:gridCol w:w="800"/>
        <w:gridCol w:w="1100"/>
        <w:gridCol w:w="5300"/>
        <w:gridCol w:w="900"/>
        <w:gridCol w:w="1000"/>
      </w:tblGrid>
      <w:tr>
        <w:trPr>
          <w:cantSplit/>
          <w:tblHeader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Verzija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 izmjene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Izradio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Odobrio</w:t>
            </w:r>
          </w:p>
        </w:tc>
      </w:tr>
      <w:tr>
        <w:trPr>
          <w:cantSplit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1.0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10.11.2025.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Prvo izdanje registra (inicijalno popunjen, ocjena R = V x U x O).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MR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  <w:tr>
        <w:trPr>
          <w:cantSplit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1.1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25.09.2026.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Objedinjene paralelne evidencije rizika (RIZ-IMS-01 v1.0, podaci unijeti u FRM-IMS-10 v1.0, list MATR-RIZ u TEHMA-IMS-Registru, IMS-RISK-ENV v1.0) u ovaj jedini mjerodavni registar; ranije evidencije označene kao zastarjele (zapažanje DNV RENRAJ-0003).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Uveden jedinstveni kriterij ocjene R = V x P (vjerojatnost puta posljedica, ljestvica 1-5) s pragom značajnosti R od 10 naviše; kriterij otkrivljivosti ukinut.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Dodane prilike, ocijenjene istim postupkom, najmanje jedna po ključnom procesu.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Dodani rizici i prilike povezani s klimatskim promjenama i veza na kontekst u Priručniku (zapažanje DNV RENRAJ-0001).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Registar preispitan nakon preuzimanja projekta rekonstrukcije DV Pčelica (zapažanje 2 internog audita ZAP-IA-03 od 14.09.2026.); dodan stupac s datumom zadnjeg preispitivanja i zapis preispitivanja s ocjenom učinkovitosti mjera.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Ispravljeni oznaka i naziv dokumenta u zaglavlju (ranije FRM-IMS-10 i FRM-IMS-09).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MR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  <w:tr>
        <w:trPr>
          <w:cantSplit/>
        </w:trPr>
        <w:tc>
          <w:tcPr>
            <w:tcW w:type="dxa" w:w="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1.2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26.09.2026.</w:t>
            </w:r>
          </w:p>
        </w:tc>
        <w:tc>
          <w:tcPr>
            <w:tcW w:type="dxa" w:w="5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Usklađeno sa zapisnikom internog audita ZAP-IA-03 v1.1 (uklonjena pozivanja na nesukladnosti koje nisu utvrđene).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Uveden jedinstveni kriterij ocjene R = V x P (vjerojatnost puta posljedica, ljestvica 1-5) s pragom značajnosti R od 10 naviše; kriterij otkrivljivosti ukinut.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Dodane prilike, ocijenjene istim postupkom, najmanje jedna po ključnom procesu.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Dodani rizici i prilike povezani s klimatskim promjenama i veza na kontekst u Priručniku (zapažanje DNV RENRAJ-0001).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Registar preispitan nakon preuzimanja projekta rekonstrukcije DV Pčelica (zapažanje 2 internog audita ZAP-IA-03 od 14.09.2026.); dodan stupac s datumom zadnjeg preispitivanja i zapis preispitivanja s ocjenom učinkovitosti mjera.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Ispravljeni oznaka i naziv dokumenta u zaglavlju (ranije FRM-IMS-10 i FRM-IMS-09).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  <w:tc>
          <w:tcPr>
            <w:tcW w:type="dxa" w:w="10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Direktor</w:t>
            </w:r>
          </w:p>
        </w:tc>
      </w:tr>
    </w:tbl>
    <w:p>
      <w:pPr>
        <w:pStyle w:val="Heading1"/>
      </w:pPr>
      <w:r>
        <w:t xml:space="preserve">SVRHA I MJERODAVNOST REGISTRA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Registar rizika i prilika (RIZ-IMS-01) jedini je mjerodavni dokument u kojem TEHMA d.o.o. evidentira, ocjenjuje i prati rizike i prilike integriranog sustava upravljanja kvalitetom i zaštitom okoliša, u skladu s točkom 6.1 normi ISO 9001:2015 i ISO 14001:2015. Registrom se: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sustavno prati što može ugroziti kvalitetu radova, rokove, sigurnost, okoliš i zadovoljstvo investitora (rizik),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evidentira što može unaprijediti poslovanje i sustav upravljanja (prilika),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planiraju mjere, određuju nositelji i rokovi te prati učinkovitost poduzetih mjera.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Od izdanja ove verzije rizici i prilike vode se isključivo u ovom registru. Sljedeće ranije evidencije objedinjene su u ovaj registar (vidi poglavlje 4), označene su kao zastarjele i više se ne ažuriraju: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IMS-RISK-ENV Procjena rizika i okolišnih aspekata, v1.0 od 25.02.2026.,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list MATR-RIZ u TEHMA-IMS-Registru v1.0,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inicijalni podaci upisani u obrazac FRM-IMS-10 v1.0 (obrazac FRM-IMS-10 ne koristi se kao zasebna evidencija rizika).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Okolišni aspekti i njihova značajnost vode se u Matrici aspekata i rizika okoliša (AO-IMS-01), a zakonski zahtjevi u Registru zakonskih zahtjeva (FRM-IMS-08). Rizici koji proizlaze iz značajnih aspekata okoliša i iz obveza usklađenosti upisuju se u ovaj registar uz poveznicu na oznaku aspekta (A-xx).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Rizici i prilike povezani s klimatskim promjenama (R-20 do R-23, P-09) proizlaze iz razmatranja klimatskih promjena kao vanjskog pitanja u poglavlju Kontekst organizacije Priručnika IMS-a (PRIR-IMS-01) i iz očekivanja zainteresiranih strana u registru dionika (list REG-DION).</w:t>
      </w:r>
    </w:p>
    <w:p>
      <w:pPr>
        <w:pStyle w:val="Heading1"/>
      </w:pPr>
      <w:r>
        <w:t xml:space="preserve">METODOLOGIJA OCJENE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Za rizike i prilike primjenjuje se jedinstveni kriterij ocjene, isti za sve procese:</w:t>
      </w:r>
    </w:p>
    <w:p>
      <w:pPr>
        <w:spacing w:after="40"/>
        <w:jc w:val="both"/>
      </w:pPr>
      <w:r>
        <w:rPr>
          <w:rFonts w:ascii="Aptos" w:hAnsi="Aptos"/>
          <w:b/>
          <w:bCs/>
          <w:sz w:val="22"/>
          <w:szCs w:val="22"/>
        </w:rPr>
        <w:t xml:space="preserve">Rizik: R = V x P</w:t>
      </w:r>
      <w:r>
        <w:rPr>
          <w:rFonts w:ascii="Aptos" w:hAnsi="Aptos"/>
          <w:sz w:val="22"/>
          <w:szCs w:val="22"/>
        </w:rPr>
        <w:t xml:space="preserve">  (V - vjerojatnost, P - posljedica, svaki od 1 do 5; R od 1 do 25)</w:t>
      </w:r>
    </w:p>
    <w:p>
      <w:pPr>
        <w:spacing w:after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Prilika: O = V x K</w:t>
      </w:r>
      <w:r>
        <w:rPr>
          <w:rFonts w:ascii="Aptos" w:hAnsi="Aptos"/>
          <w:sz w:val="22"/>
          <w:szCs w:val="22"/>
        </w:rPr>
        <w:t xml:space="preserve">  (V - vjerojatnost ostvarenja, K - korist, svaki od 1 do 5; O od 1 do 25)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Ranije korišteni kriterij otkrivljivosti (O) više se ne primjenjuje. Postojeće kontrole i mogućnost ranog otkrivanja uzimaju se u obzir pri ocjeni vjerojatnosti.</w:t>
      </w:r>
    </w:p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Vjerojatnost (V)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Nije se dogodilo i ne očekuje se; rjeđe od jednom u pet godina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Moguće, dogodilo se u struci ili rijetko u TEHMA-i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Srednja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Moguće približno jednom godišnje ili jednom po projektu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Visoka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Više puta godišnje ili na većini projekata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Vrlo visoka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Redovito, gotovo sigurno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Posljedica (P) - kvaliteta, rok, trošak, sigurnost, okoliš, ugled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Zanemariva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Bez utjecaja na kvalitetu, rok ili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Manja korekcija ili zastoj do jednog dana; kratkotrajan lokalni utjecaj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Umjerena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Dodatni rad, kašnjenje, pritužba investitora ili susjeda; utjecaj na okoliš koji se sanira vlastitim snagama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Ozbiljna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Reklamacija, ugovorna kazna, ozljeda na radu, inspekcijska mjera; onečišćenje koje zahtijeva vanjsku sanaciju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Kritična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Veliki financijski ili reputacijski gubitak, teška ozljeda, gubitak ugovora ili certifikata; dugotrajna ili nepovratna šteta u okolišu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Korist prilike (K)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900"/>
        <w:gridCol w:w="1600"/>
        <w:gridCol w:w="7100"/>
      </w:tblGrid>
      <w:tr>
        <w:trPr>
          <w:cantSplit/>
          <w:tblHeader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Ocjena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Opis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Kriterij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Zanemariva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Bez mjerljivog učinka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Mala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Manje poboljšanje unutar jednog procesa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Umjerena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Mjerljivo poboljšanje procesa, troška ili utjecaja na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Značajna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Novi poslovi, znatna ušteda ili znatno smanjenje utjecaja na okoliš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Strateška</w:t>
            </w:r>
          </w:p>
        </w:tc>
        <w:tc>
          <w:tcPr>
            <w:tcW w:type="dxa" w:w="7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Bitno jačanje položaja tvrtke na tržištu</w:t>
            </w:r>
          </w:p>
        </w:tc>
      </w:tr>
    </w:tbl>
    <w:p>
      <w:pPr>
        <w:keepNext/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Razine i prag značajnosti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1500"/>
        <w:gridCol w:w="1500"/>
        <w:gridCol w:w="2600"/>
        <w:gridCol w:w="1500"/>
        <w:gridCol w:w="2500"/>
      </w:tblGrid>
      <w:tr>
        <w:trPr>
          <w:cantSplit/>
          <w:tblHeader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Rezultat (R ili O)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Razina rizika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Postupanje s rizikom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Razina prilike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Postupanje s prilikom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10 - 25</w:t>
            </w:r>
          </w:p>
        </w:tc>
        <w:tc>
          <w:tcPr>
            <w:tcW w:type="dxa" w:w="1500"/>
            <w:shd w:val="clear" w:color="auto" w:fill="F8CBAD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VISOK (značajan)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Obvezna planirana mjera s nositeljem i rokom; praćenje do provedbe i ocjena učinkovitosti</w:t>
            </w:r>
          </w:p>
        </w:tc>
        <w:tc>
          <w:tcPr>
            <w:tcW w:type="dxa" w:w="1500"/>
            <w:shd w:val="clear" w:color="auto" w:fill="C6E0B4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PRIORITETNA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Obvezan plan ostvarenja s nositeljem i rokom; uvrštava se u PROG-PB ili ciljeve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5 - 9</w:t>
            </w:r>
          </w:p>
        </w:tc>
        <w:tc>
          <w:tcPr>
            <w:tcW w:type="dxa" w:w="1500"/>
            <w:shd w:val="clear" w:color="auto" w:fill="FFE699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SREDNJI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Postojeće mjere se održavaju; dodatna mjera se planira kad je razumno izvediva</w:t>
            </w:r>
          </w:p>
        </w:tc>
        <w:tc>
          <w:tcPr>
            <w:tcW w:type="dxa" w:w="1500"/>
            <w:shd w:val="clear" w:color="auto" w:fill="FFE699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RAZMATRA SE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Razmatra se na upravinoj ocjeni prema raspoloživim resursima</w:t>
            </w:r>
          </w:p>
        </w:tc>
      </w:tr>
      <w:tr>
        <w:trPr>
          <w:cantSplit/>
        </w:trPr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1 - 4</w:t>
            </w:r>
          </w:p>
        </w:tc>
        <w:tc>
          <w:tcPr>
            <w:tcW w:type="dxa" w:w="1500"/>
            <w:shd w:val="clear" w:color="auto" w:fill="C6E0B4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NIZAK</w:t>
            </w:r>
          </w:p>
        </w:tc>
        <w:tc>
          <w:tcPr>
            <w:tcW w:type="dxa" w:w="2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Prihvaća se; prati se pri redovnom preispitivanju</w:t>
            </w:r>
          </w:p>
        </w:tc>
        <w:tc>
          <w:tcPr>
            <w:tcW w:type="dxa" w:w="1500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EVIDENTIRA SE</w:t>
            </w:r>
          </w:p>
        </w:tc>
        <w:tc>
          <w:tcPr>
            <w:tcW w:type="dxa" w:w="2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Evidentira se; bez obveze mjere</w:t>
            </w:r>
          </w:p>
        </w:tc>
      </w:tr>
    </w:tbl>
    <w:p>
      <w:pPr>
        <w:spacing w:after="60" w:before="120"/>
        <w:jc w:val="both"/>
      </w:pPr>
      <w:r>
        <w:rPr>
          <w:rFonts w:ascii="Aptos" w:hAnsi="Aptos"/>
          <w:b/>
          <w:bCs/>
          <w:sz w:val="22"/>
          <w:szCs w:val="22"/>
        </w:rPr>
        <w:t xml:space="preserve">Prag značajnosti: </w:t>
      </w:r>
      <w:r>
        <w:rPr>
          <w:rFonts w:ascii="Aptos" w:hAnsi="Aptos"/>
          <w:sz w:val="22"/>
          <w:szCs w:val="22"/>
        </w:rPr>
        <w:t xml:space="preserve">rizik ili prilika s rezultatom 10 ili više značajan je i za njega je obvezna planirana mjera s nositeljem (funkcijom), rokom ili oznakom 'trajno' te statusom. Isti prag primjenjuje se za značajnost aspekata okoliša u AO-IMS-01 (PROC-IMS-07).</w:t>
      </w:r>
    </w:p>
    <w:p>
      <w:pPr>
        <w:pStyle w:val="Heading1"/>
      </w:pPr>
      <w:r>
        <w:t xml:space="preserve">POSTUPAK VOĐENJA I PREISPITIVANJA</w:t>
      </w:r>
    </w:p>
    <w:p>
      <w:pPr>
        <w:pStyle w:val="Heading2"/>
      </w:pPr>
      <w:r>
        <w:t xml:space="preserve">Identifikacija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Rizici i prilike identificiraju se po ključnim procesima IMS-a, a za svaki ključni proces evidentirana je najmanje jedna prilika: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ugovaranje i prodaja,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planiranje projekta,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nabava i podizvođači,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izvođenje radova i kontrola (PKI),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gospodarenje otpadom,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pripravnost na izvanredne situacije,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ljudski resursi,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upravljanje dokumentacijom.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Ulazi za identifikaciju su: kontekst organizacije i zainteresirane strane (PRIR-IMS-01, REG-DION), značajni aspekti okoliša (AO-IMS-01), obveze usklađenosti (FRM-IMS-08, PUZ-IMS-01), nesukladnosti i reklamacije, nalazi internih i vanjskih audita, rezultati vježbi pripravnosti te zahtjevi investitora.</w:t>
      </w:r>
    </w:p>
    <w:p>
      <w:pPr>
        <w:pStyle w:val="Heading2"/>
      </w:pPr>
      <w:r>
        <w:t xml:space="preserve">Ocjena i mjere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Svaki rizik i svaka prilika ocjenjuju se prema poglavlju 2. Za svaku stavku upisuju se nositelj (funkcija), mjera, rok ili oznaka 'trajno' za kontinuirane mjere te status: otvoreno (planirana mjera nije provedena), aktivno (trajna mjera se provodi), zatvoreno (mjera provedena i ocijenjena učinkovitom).</w:t>
      </w:r>
    </w:p>
    <w:p>
      <w:pPr>
        <w:pStyle w:val="Heading2"/>
      </w:pPr>
      <w:r>
        <w:t xml:space="preserve">Preispitivanje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Registar se preispituje: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svakom novom ugovoru ili projektu, prije početka radova (voditelj gradilišta i MR),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pri bitnoj promjeni (nova vrsta radova, nova lokacija, promjena organizacije, ključnog dobavljača ili propisa),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nakon nesukladnosti, incidenta, izvanredne situacije ili vježbe pripravnosti,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nakon internog audita,</w:t>
      </w:r>
    </w:p>
    <w:p>
      <w:pPr>
        <w:numPr>
          <w:ilvl w:val="0"/>
          <w:numId w:val="4"/>
        </w:numPr>
        <w:spacing w:after="60"/>
        <w:jc w:val="both"/>
      </w:pPr>
      <w:r>
        <w:rPr>
          <w:rFonts w:ascii="Aptos" w:hAnsi="Aptos"/>
          <w:sz w:val="22"/>
          <w:szCs w:val="22"/>
        </w:rPr>
        <w:t xml:space="preserve">najmanje jednom godišnje u sklopu upravine ocjene (PROC-M1), uz ocjenu učinkovitosti poduzetih mjera.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Pri svakom preispitivanju ažurira se stupac 'Zadnje preisp.' za pregledane stavke, a u poglavlje 7 upisuje se datum, povod, opseg i rezultat preispitivanja. Učinkovitost mjera ocjenjuje se kao učinkovito, djelomično učinkovito ili neučinkovito; mjera koja nije učinkovita ponovno se planira. Pregled visokih rizika, prioritetnih prilika i ocjene učinkovitosti mjera obvezan je ulaz upravine ocjene.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Usklađenost ovog registra s Matricom aspekata (AO-IMS-01) i Registrom zakonskih zahtjeva (FRM-IMS-08) provjerava se u svakom internom auditu prema checklisti internog audita (OBR-IA-IMS-01).</w:t>
      </w:r>
    </w:p>
    <w:p>
      <w:pPr>
        <w:pStyle w:val="Heading1"/>
      </w:pPr>
      <w:r>
        <w:t xml:space="preserve">OBJEDINJAVANJE RANIJIH EVIDENCIJA</w:t>
      </w:r>
    </w:p>
    <w:p>
      <w:pPr>
        <w:spacing w:after="60"/>
        <w:jc w:val="both"/>
      </w:pPr>
      <w:r>
        <w:rPr>
          <w:rFonts w:ascii="Aptos" w:hAnsi="Aptos"/>
          <w:sz w:val="22"/>
          <w:szCs w:val="22"/>
        </w:rPr>
        <w:t xml:space="preserve">Tablica prikazuje kamo je prenesena svaka stavka iz ranijih evidencija. Stavke istog sadržaja spojene su u jednu, a ocjene su ponovno određene prema jedinstvenom kriteriju iz poglavlja 2.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1900"/>
        <w:gridCol w:w="1500"/>
        <w:gridCol w:w="1500"/>
        <w:gridCol w:w="1200"/>
        <w:gridCol w:w="3500"/>
      </w:tblGrid>
      <w:tr>
        <w:trPr>
          <w:cantSplit/>
          <w:tblHeader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Stavka v1.1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RIZ-IMS-01 v1.0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FRM-IMS-10 v1.0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MATR-RIZ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IMS-RISK-ENV v1.0 (područje)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R7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7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(promjene zahtjeva investitora)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7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(nepredviđeni radovi)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R8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(nerealno planiranje)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(projektna dokumentacija)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R1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(kašnjenje isporuke), primjer 1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R-07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(neusklađenost materijala)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5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i 3 (podizvođači, koordinacija)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R2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 (tehničke pogreške)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R6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6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(oštećenje opreme)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R9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(sigurnosni rizici)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R-12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3 (sigurnosni rizici); dopunjeno za rad u naselju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(preispitivanje 25.09.2026.)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R3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 i 8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okolišni aspekti (otpad)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R10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izvanredne situacije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RIZ-06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R5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i 5 (radna snaga, obuka)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R-17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9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5 (fluktuacija)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R-18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RIZ-05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R4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R-19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(RENRAJ-0003, RENRAJ-0004)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R-20 do R-23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4 (vremenski uvjeti); dopunjeno (RENRAJ-0001)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P-04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RIZ-07 (prilika)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P-05, P-10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AO-IMS-01 v1.0, planirane mjere AO4 i AO2</w:t>
            </w:r>
          </w:p>
        </w:tc>
      </w:tr>
      <w:tr>
        <w:trPr>
          <w:cantSplit/>
        </w:trPr>
        <w:tc>
          <w:tcPr>
            <w:tcW w:type="dxa" w:w="1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P-01 do P-03, P-06 do P-09, P-11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-</w:t>
            </w:r>
          </w:p>
        </w:tc>
        <w:tc>
          <w:tcPr>
            <w:tcW w:type="dxa" w:w="3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novo (RENRAJ-0003)</w:t>
            </w:r>
          </w:p>
        </w:tc>
      </w:tr>
    </w:tbl>
    <w:p>
      <w:pPr>
        <w:keepNext/>
        <w:spacing w:after="60" w:before="160"/>
        <w:jc w:val="both"/>
      </w:pPr>
      <w:r>
        <w:rPr>
          <w:rFonts w:ascii="Aptos" w:hAnsi="Aptos"/>
          <w:b/>
          <w:bCs/>
          <w:sz w:val="22"/>
          <w:szCs w:val="22"/>
        </w:rPr>
        <w:t xml:space="preserve">Odobrenje</w:t>
      </w:r>
    </w:p>
    <w:tbl>
      <w:tblPr>
        <w:tblStyle w:val="GridTable3-Accent2"/>
        <w:tblW w:w="9600" w:type="dxa"/>
        <w:tblLayout w:type="fixed"/>
        <w:tblLook w:firstColumn="0" w:firstRow="1" w:lastColumn="0" w:lastRow="0" w:noHBand="0" w:noVBand="1" w:val="04A0"/>
      </w:tblPr>
      <w:tblGrid>
        <w:gridCol w:w="3300"/>
        <w:gridCol w:w="2900"/>
        <w:gridCol w:w="2200"/>
        <w:gridCol w:w="1200"/>
      </w:tblGrid>
      <w:tr>
        <w:trPr>
          <w:cantSplit/>
          <w:tblHeader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Uloga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Ime i prezime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Potpis</w:t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Izradio: Predstavnik uprave (MR)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Rinalda Kalmeta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Pregledao: HSE referent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Krešimir Peša, dipl. ing.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Odobrio: Direktor</w:t>
            </w:r>
          </w:p>
        </w:tc>
        <w:tc>
          <w:tcPr>
            <w:tcW w:type="dxa" w:w="2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>Ivan Mažer</w:t>
            </w:r>
          </w:p>
        </w:tc>
        <w:tc>
          <w:tcPr>
            <w:tcW w:type="dxa" w:w="2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8"/>
                <w:szCs w:val="18"/>
              </w:rPr>
              <w:t xml:space="preserve"/>
            </w:r>
          </w:p>
        </w:tc>
      </w:tr>
    </w:tbl>
    <w:p>
      <w:pPr>
        <w:sectPr w:rsidR="007603C3" w:rsidRPr="00C05D44" w:rsidSect="001A6E01">
          <w:headerReference w:type="default" r:id="rId8"/>
          <w:footerReference w:type="default" r:id="rId9"/>
          <w:headerReference w:type="first" r:id="rId14"/>
          <w:headerReference w:type="even" r:id="rId15"/>
          <w:footerReference w:type="first" r:id="rId16"/>
          <w:pgSz w:w="11900" w:h="16840"/>
          <w:pgMar w:top="1134" w:right="1134" w:bottom="1325" w:left="1134" w:header="709" w:footer="709" w:gutter="0"/>
          <w:cols w:space="708"/>
          <w:docGrid w:linePitch="360"/>
        </w:sectPr>
      </w:pPr>
    </w:p>
    <w:p>
      <w:pPr>
        <w:pStyle w:val="Heading1"/>
      </w:pPr>
      <w:r>
        <w:t xml:space="preserve">REGISTAR RIZIKA</w:t>
      </w:r>
    </w:p>
    <w:p>
      <w:pPr>
        <w:spacing w:after="60"/>
        <w:jc w:val="both"/>
      </w:pPr>
      <w:r>
        <w:rPr>
          <w:rFonts w:ascii="Aptos" w:hAnsi="Aptos"/>
          <w:sz w:val="18"/>
          <w:szCs w:val="18"/>
        </w:rPr>
        <w:t xml:space="preserve">Stanje na dan preispitivanja 25.09.2026. Razina: V = visok (značajan, R od 10 naviše), S = srednji, N = nizak.</w:t>
      </w:r>
    </w:p>
    <w:tbl>
      <w:tblPr>
        <w:tblStyle w:val="GridTable3-Accent2"/>
        <w:tblW w:w="14210" w:type="dxa"/>
        <w:tblLayout w:type="fixed"/>
        <w:tblLook w:firstColumn="0" w:firstRow="1" w:lastColumn="0" w:lastRow="0" w:noHBand="0" w:noVBand="1" w:val="04A0"/>
      </w:tblPr>
      <w:tblGrid>
        <w:gridCol w:w="560"/>
        <w:gridCol w:w="1100"/>
        <w:gridCol w:w="2650"/>
        <w:gridCol w:w="300"/>
        <w:gridCol w:w="300"/>
        <w:gridCol w:w="360"/>
        <w:gridCol w:w="620"/>
        <w:gridCol w:w="2100"/>
        <w:gridCol w:w="2450"/>
        <w:gridCol w:w="1100"/>
        <w:gridCol w:w="950"/>
        <w:gridCol w:w="820"/>
        <w:gridCol w:w="900"/>
      </w:tblGrid>
      <w:tr>
        <w:trPr>
          <w:cantSplit/>
          <w:tblHeader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ID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Proces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Rizik, uzrok i posljedica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</w:t>
            </w:r>
          </w:p>
        </w:tc>
        <w:tc>
          <w:tcPr>
            <w:tcW w:type="dxa" w:w="62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Raz.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Postojeće mjere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Planirana mjera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Nositelj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Rok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Status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Zadnje preisp.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Nejasno ili nepotpuno definirani zahtjevi investitora (obujam, rokovi, cijene, posebni uvjeti).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nepotpuna provjera ugovornih zahtjeva, usmeni dogovori bez pisane potvrde.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reklamacije, sporovi, neplaćeni radovi.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ugovora prije potpisa; e-mail sažeci nakon sastanaka s investitorom.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Checklista ugovornih zahtjeva koja se popunjava prije potpisa svakog ugovora; zapisnik sa svakog sastanka s investitorom (ništa bez pisanog traga).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Promjene obujma ili tehničkog rješenja dogovorene na gradilištu bez pisane potvrde.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usmeni dogovori s nadzorom ili investitorom tijekom radova.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nesukladnosti, reklamacije, sporovi oko obračuna.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Pisana potvrda promjene od nadzora ili investitora; upis u građevinski dnevnik.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Svaku promjenu upisati u registar promjena (list REG-PROMJ) uz poveznicu na pisanu potvrdu.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Rast cijena goriva i materijala nakon predaje ponude ili potpisa ugovora.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tržišna kretanja, dugi rokovi izvedbe.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smanjena dobit ili gubitak na projektu.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tržišnih cijena pri izradi ponude.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Ograničen rok valjanosti ponude; gdje je moguće, ugovorna klauzula o usklađenju cijena; kod dugih projekata unaprijed ugovoriti cijene ključnih materijala.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R-04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Neusklađeni rokovi i raspoloživi resursi (ljudi, strojevi, voditelji gradilišta).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kratki rokovi prihvaćeni bez analize kapaciteta; istodobno više projekata.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kašnjenje, ugovorne kazne, preopterećenje voditelja i propusti u kontroli.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Osnovna provjera rokova i raspoloživosti prije ponude.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Prije potpisa ugovora provesti i zapisati analizu kapaciteta i rizika projekta; za veće radove odrediti zamjenskog voditelja.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R-05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Nedostatna analiza lokacije: pristup, instalacije, logistika, susjedni objekti i korisnici.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planiranje bez detaljnog obilaska lokacije; nepotpuna projektna dokumentacija.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nepredviđeni radovi, dodatni troškovi, sukobi s investitorom ili susjedima.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Obilazak lokacije prije početka radova.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Standardna checklista obilaska lokacije (pristup, instalacije, susjedni objekti i korisnici, odvodnja, skladištenje, otpad) prije predaje ponude.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R-06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Kašnjenje isporuke ključnih materijala.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oslanjanje na jednog dobavljača, nedovoljno praćenje rokova, financijska nestabilnost dobavljača.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 radova, produženje roka, dodatni troškovi.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rokova isporuke pri narudžbi; evidencija dobavljača (FRM-IMS-06).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 ključne materijale najmanje jedan zamjenski dobavljač na popisu odobrenih dobavljača; godišnja evaluacija dobavljača.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R-07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Isporuka materijala neusklađenog sa specifikacijom (npr. beton pogrešnog razreda ili recepture).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izostanak provjere otpremnice i deklaracije prije ugradnje.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popravak ili uklanjanje ugrađenog, trošak,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Kontrolna točka u PKI: provjera deklaracije i otpremnice prije ugradnje.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Provjera otpremnice prije istovara svake isporuke betona; označeno mjesto istovara; upis u zapisnik KT (FRM-IMS-12B).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R-08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Kašnjenje ili nedovoljna kvaliteta radova podizvođača.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nedovoljna procjena kapaciteta podizvođača, paralelni projekti, slaba koordinacija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kašnjenje, ugovorne kazne, reklamacije, narušeni odnosi s investitorom.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Ugovoreni rokovi i opći uvjeti suradnje; nadzor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Evaluacija podizvođača (FRM-IMS-06) i popis odobrenih podizvođača; zamjenski podizvođač za ključne vrste radova.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R-09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Pogreška u izvedbi ili propuštena kontrolna točka.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nepotpuno popunjen PKI, opterećenost voditelja gradilišta.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reklamacije, troškovi popravka, nesukladnosti.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PKI (FRM-IMS-05), zapisnici KT/ST (FRM-IMS-12A/12B), tjedni nadzor.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Mjesečna provjera potpunosti PKI na aktivnim gradilištima; za veće radove drugi voditelj ili zamjenik.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Kvar ili neispravnost strojeva i opreme.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nepravovremeni servisi i pregledi, nedostatak evidencije opreme.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zastoji, ozljede, curenje ulja, inspekcijske mjere.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Redovno održavanje i servisi.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Registar opreme s rokovima pregleda i odgovornom osobom; dnevna vizualna provjera strojeva prije rada.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Ozljeda radnika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nepoštivanje pravila zaštite na radu, neosposobljeni radnici, rad na visini.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prekid radova, kazne, odgovornost.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Osposobljavanje za rad na siguran način; osobna zaštitna oprema.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rokova osposobljenosti radnika (EDU-PLAN); HSE obilasci gradilišta uz zapisnik (FRM-IMS-02).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Rad uz korisnike i susjedne objekte pri rekonstrukciji objekata u naselju (npr. DV Pčelica): ugrožavanje sigurnosti djece, roditelja, korisnika susjednih objekata i prolaznika; ulaz neovlaštenih osoba.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blizina korisnika i pješačkih površina, dostave i rad strojeva.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ozljeda treće osobe, prekid radova, odgovornost, gubitak povjerenja investitora.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Ograda gradilišta i zabrana pristupa neovlaštenim osobama.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Fizičko odvajanje gradilišta od površina koje koriste korisnici i prolaznici; kontrola ulaza; signalizacija; termini dostava i rada strojeva dogovoreni s investitorom; provjera pri svakom HSE obilasku.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(tijekom projekta)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Buka i prašina prema korisnicima susjednih objekata i stanovnicima pri radovima u naselju (npr. DV Pčelica).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rušenje, rezanje, brušenje, rad strojeva.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pritužbe, zahtjevi investitora ili inspekcije, ograničenje ili prekid radova.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Rad u dopuštenom vremenu; vlaženje pri prašnjavim radovima.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Bučne i prašnjave radove planirati u dogovoru s investitorom; prekrivanje i vlaženje; evidencija pritužbi i odgovora. Aspekti A-02 i A-21.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(tijekom projekta)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R-14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Gospodarenje otpadom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Nepravilno razdvajanje, skladištenje ili predaja otpada.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nedovoljna edukacija radnika i podizvođača, loše označeni spremnici.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kazne, veći troškovi odvoza, onečišćenje okoliša.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Ugovor s ovlaštenim sakupljačem; očevidnik otpada (FRM-IMS-07); prateći listovi.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Kratka obuka na svakom novom gradilištu; označeni spremnici po vrstama otpada; kontrola prema FRM-IMS-18. Aspekti A-07 i A-08.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R-15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Pripravnost na izvanredne situacije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Izlijevanje goriva ili ulja, požar na gradilištu.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tankiranje i pretakanje, neispravni strojevi, neoznačena ili nedostupna oprema za intervenciju.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onečišćenje tla, oborinske odvodnje ili mora; kazna.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5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10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Apsorbenti, PROC-IMS-09, PLAN-IIZS; vježba 14.09.2026. (ZAP-VJ-01) ocijenjena kao uspješna s primjedbama.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Prema ZAP-VJ-01: odrediti i označiti mjesto opreme za intervenciju na svakom gradilištu (31.10.2026.); lokacija opreme u uvodnom razgovoru s radnicima (31.10.2026.); tromjesečna provjera kompletnosti opreme (31.12.2026.). Aspekti A-11 i A-13.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R-16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Nedostatak kvalificirane radne snage.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manjak raspoloživih radnika, fluktuacija, nedovoljna obuka.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pad kvalitete i produktivnosti,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Suradnja s provjerenim podizvođačima; uhodani timovi.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Provedba plana edukacija (EDU-PLAN); dugoročni ugovori s ključnim podizvođačima; uvođenje novih radnika uz mentora.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R-17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Nedostupnost ključnog osoblja (npr. voditelja gradilišta).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 postoji plan zamjene, znanje koncentrirano u jednoj osobi.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zastoji, slabiji nadzor, pogrešne odluke na gradilištu.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Povremeno uključivanje zamjene u projekt.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Odrediti zamjenike za ključne funkcije; projektnu dokumentaciju voditi centralno (SharePoint).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R-18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Gubitak zapisa ili korištenje zastarjelih verzija dokumenata.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nestrukturirane mape, rad s lokalnim kopijama.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nemogućnost dokazivanja, pogreške u izvedbi, nesukladnosti.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6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SharePoint repozitorij; PROC-IMS-01.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Kontrolirane verzije i popis važećih dokumenata; edukacija o kontroli dokumenata.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R-19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Paralelne evidencije istog sadržaja s različitim podacima (zapažanja DNV RENRAJ-0003 i RENRAJ-0004).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evidencije nastale u različitim fazama i alatima bez odluke koja je mjerodavna.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neusklađeni podaci, pogrešne odluke, nalazi audita.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Objedinjavanje u RIZ-IMS-01 i AO-IMS-01 (25.09.2026.); ranije evidencije označene kao zastarjele.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izradi svakog novog dokumenta provjeriti postoji li mjerodavni dokument iste namjene; provjera u internom auditu (OBR-IA-IMS-01).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R-20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Ekstremno visoke temperature i toplinski valovi.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sve češća i dulja razdoblja visokih temperatura.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toplinski stres radnika, pogreške pri betoniranju i ugradnji materijala osjetljivih na temperaturu, pad produktivnosti,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Organizacija rada prema procjeni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 ljetnim mjesecima raniji početak rada i pauze u najtoplijem dijelu dana; betoniranje u hladnijem dijelu dana i njegovanje betona prema PKI; praćenje upozorenja DHMZ-a.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 / HSE referent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R-21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Bura i olujno nevrijeme.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jaki udari vjetra, češći ekstremni vremenski događaji.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obustava rada dizalica i radova na visini, oštećenje skela, ograda i privremenih objekata, raznošenje otpada i prašine, prekid podmorskih radova,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F8CBAD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V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Obustava radova pri jakom vjetru prema procjeni voditelja gradilišta.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Praćenje upozorenja DHMZ-a i planiranje rada prema prognozi; učvršćivanje skela, ograda, spremnika otpada i lakog materijala; obustava rada dizalica prema uputama proizvođača; rezerva u terminskom planu.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R-22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Obilne oborine i kratkotrajni jaki pljuskovi.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češće jake oborine.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plavljenje iskopa, ispiranje mulja, cementa i materijala u oborinsku odvodnju ili more, oštećenje ugrađenog,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Natkriveno ili zaštićeno skladištenje osjetljivog materijala.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Zaštita slivnika i iskopa pri najavi jakih oborina; plan odvodnje gradilišta; rezerva u terminskom planu. Aspekti A-10 i A-20.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R-23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(klimatske promjene)</w:t>
            </w:r>
          </w:p>
        </w:tc>
        <w:tc>
          <w:tcPr>
            <w:tcW w:type="dxa" w:w="26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Rad u priobalju i podmorski radovi: porast razine mora, olujni uspori i valovi.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Uzrok: klimatske promjene i ekstremni vremenski događaji na moru.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Posljedica: prekid radova, oštećenje izvedenih radova i opreme, onečišćenje mora, kašnjenje.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2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8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S</w:t>
            </w:r>
          </w:p>
        </w:tc>
        <w:tc>
          <w:tcPr>
            <w:tcW w:type="dxa" w:w="2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podmorskih radova prema prognozi stanja mora. Podmorske radove izvodi specijalizirani podizvođač, evaluiran na FRM-IMS-06 prije angažmana, uz ugovorom prenesene okolišne mjere.</w:t>
            </w:r>
          </w:p>
        </w:tc>
        <w:tc>
          <w:tcPr>
            <w:tcW w:type="dxa" w:w="24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planiranju radova u priobalju s projektantom i investitorom provjeriti projektne pretpostavke o razini mora i valovima; plan osiguranja opreme pri najavi nevremena.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9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trajno (svaki projekt u priobalju)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aktivno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</w:tbl>
    <w:p>
      <w:pPr>
        <w:pStyle w:val="Heading1"/>
      </w:pPr>
      <w:r>
        <w:t xml:space="preserve">REGISTAR PRILIKA</w:t>
      </w:r>
    </w:p>
    <w:p>
      <w:pPr>
        <w:spacing w:after="60"/>
        <w:jc w:val="both"/>
      </w:pPr>
      <w:r>
        <w:rPr>
          <w:rFonts w:ascii="Aptos" w:hAnsi="Aptos"/>
          <w:sz w:val="18"/>
          <w:szCs w:val="18"/>
        </w:rPr>
        <w:t xml:space="preserve">Prilike se ocjenjuju istim postupkom kao rizici (O = V x K). Razina: PRI = prioritetna (O od 10 naviše), RAZ = razmatra se, EVI = evidentira se.</w:t>
      </w:r>
    </w:p>
    <w:tbl>
      <w:tblPr>
        <w:tblStyle w:val="GridTable3-Accent2"/>
        <w:tblW w:w="14110" w:type="dxa"/>
        <w:tblLayout w:type="fixed"/>
        <w:tblLook w:firstColumn="0" w:firstRow="1" w:lastColumn="0" w:lastRow="0" w:noHBand="0" w:noVBand="1" w:val="04A0"/>
      </w:tblPr>
      <w:tblGrid>
        <w:gridCol w:w="560"/>
        <w:gridCol w:w="1250"/>
        <w:gridCol w:w="3400"/>
        <w:gridCol w:w="300"/>
        <w:gridCol w:w="300"/>
        <w:gridCol w:w="360"/>
        <w:gridCol w:w="620"/>
        <w:gridCol w:w="3250"/>
        <w:gridCol w:w="1250"/>
        <w:gridCol w:w="1100"/>
        <w:gridCol w:w="820"/>
        <w:gridCol w:w="900"/>
      </w:tblGrid>
      <w:tr>
        <w:trPr>
          <w:cantSplit/>
          <w:tblHeader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ID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Proces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Prilika i korist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V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K</w:t>
            </w:r>
          </w:p>
        </w:tc>
        <w:tc>
          <w:tcPr>
            <w:tcW w:type="dxa" w:w="36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</w:t>
            </w:r>
          </w:p>
        </w:tc>
        <w:tc>
          <w:tcPr>
            <w:tcW w:type="dxa" w:w="620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Raz.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Mjera za ostvarenje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Nositelj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Rok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Status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Zadnje preisp.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P-01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Certifikat ISO 9001 i ISO 14001 kao uvjet ili prednost na javnim natječajima i kod investitora koji traže certificirani sustav.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pristup novim poslovima.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16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Nakon izdavanja certifikata uvrstiti ga u ponudbenu dokumentaciju i predstavljanje tvrtke; pratiti natječaje u kojima je certifikat uvjet.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izdavanju certifikata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P-02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Planiranje projekta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Standardizirani obilazak lokacije i analiza rizika projekta kao ulaz u ponudu.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točnija kalkulacija, manje nepredviđenih radova.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Checklistu obilaska lokacije (R-05) koristiti i kao ulaz u kalkulaciju ponude.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Voditelj gradilišta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P-03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Nabava i podizvođači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Popis odobrenih i ocijenjenih dobavljača i podizvođača.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stabilniji rokovi i kvaliteta, brži odabir zamjene.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Popuniti i održavati popis odobrenih dobavljača i podizvođača (POP-DOB-01) na temelju evaluacije FRM-IMS-06.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P-04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Digitalizacija zapisa s gradilišta (PKI, KT/ST, NC, otpad) i fotodokumentacija u SharePointu.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brža obrada, bolja sljedivost, manje izgubljenih zapisa.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Mobilna prijava nesukladnosti i unos fotodokumentacije kontrolnih točaka s gradilišta.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P-05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Gospodarenje otpadom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Odvojeno prikupljanje građevnog otpada za oporabu, ponovna uporaba materijala iz iskopa na gradilištu gdje je dopušteno i povrat ambalaže dobavljačima.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niži troškovi odvoza, manje otpada na odlagalištu.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 planiranju projekta procijeniti mogućnost oporabe i ponovne uporabe; s dobavljačima ugovarati povrat ambalaže gdje je moguće.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 / 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P-06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Pripravnost na izvanredne situacije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Iskustva s vježbe pripravnosti 14.09.2026. (ZAP-VJ-01) za standardizaciju opreme za intervenciju na svim gradilištima.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brža i ujednačena reakcija, manji rizik onečišćenja.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Standardni komplet opreme za intervenciju s istim označavanjem na svim gradilištima; najmanje jedna vježba godišnje s izmjenom scenarija.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P-07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Ljudski resursi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Sustavno osposobljavanje i uvođenje zamjenika za ključne funkcije.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veća kompetentnost, manja ovisnost o pojedincima.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Provedba EDU-PLAN-a; uvođenje zamjenika kroz rad na projektu uz iskusnog voditelja.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 / 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P-08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Upravljanje dokumentacijom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Jedan mjerodavni repozitorij s kontroliranim verzijama i popisom važećih dokumenata.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brži pristup, lakša priprema audita, manje pogrešaka.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Održavati popis važećih dokumenata; zastarjele kopije ukloniti ili arhivirati s oznakom.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31.12.2026.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P-09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 (klimatske promjene)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Potražnja za energetskom obnovom zgrada i radovima prilagodbe klimatskim promjenama (toplinska zaštita, odvodnja oborinskih voda, zaštita obale).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novi poslovi.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4</w:t>
            </w:r>
          </w:p>
        </w:tc>
        <w:tc>
          <w:tcPr>
            <w:tcW w:type="dxa" w:w="36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12</w:t>
            </w:r>
          </w:p>
        </w:tc>
        <w:tc>
          <w:tcPr>
            <w:tcW w:type="dxa" w:w="620"/>
            <w:shd w:val="clear" w:color="auto" w:fill="C6E0B4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PRI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Pratiti natječaje za energetsku obnovu i radove prilagodbe; procijeniti potrebne kompetencije i reference.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30.06.2027.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P-10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Izvođenje radova i kontrola (PKI)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Praćenje potrošnje goriva po strojevima i gradilištima.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niži troškovi i manje emisije (aspekt A-03).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Mjesečna evidencija potrošnje goriva po gradilištu; na temelju podataka postaviti cilj u CILJ-IMS-01.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HSE referent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31.03.2027.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P-11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Ugovaranje i prodaja</w:t>
            </w:r>
          </w:p>
        </w:tc>
        <w:tc>
          <w:tcPr>
            <w:tcW w:type="dxa" w:w="34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5"/>
                <w:szCs w:val="15"/>
              </w:rPr>
              <w:t xml:space="preserve">Referenca rekonstrukcije objekta javne namjene u naselju (DV Pčelica).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Korist: preporuka za buduće javne natječaje.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00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3</w:t>
            </w:r>
          </w:p>
        </w:tc>
        <w:tc>
          <w:tcPr>
            <w:tcW w:type="dxa" w:w="36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9</w:t>
            </w:r>
          </w:p>
        </w:tc>
        <w:tc>
          <w:tcPr>
            <w:tcW w:type="dxa" w:w="620"/>
            <w:shd w:val="clear" w:color="auto" w:fill="FFE699"/>
          </w:tcPr>
          <w:p>
            <w:pPr>
              <w:spacing w:after="0"/>
              <w:jc w:val="center"/>
            </w:pPr>
            <w:r>
              <w:rPr>
                <w:rFonts w:ascii="Aptos" w:hAnsi="Aptos"/>
                <w:sz w:val="15"/>
                <w:szCs w:val="15"/>
              </w:rPr>
              <w:t xml:space="preserve">RAZ</w:t>
            </w:r>
          </w:p>
        </w:tc>
        <w:tc>
          <w:tcPr>
            <w:tcW w:type="dxa" w:w="3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završetku projekta pribaviti potvrdu o izvedenim radovima i uvrstiti je u reference.</w:t>
            </w:r>
          </w:p>
        </w:tc>
        <w:tc>
          <w:tcPr>
            <w:tcW w:type="dxa" w:w="125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Direktor</w:t>
            </w:r>
          </w:p>
        </w:tc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po završetku projekta</w:t>
            </w:r>
          </w:p>
        </w:tc>
        <w:tc>
          <w:tcPr>
            <w:tcW w:type="dxa" w:w="82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otvoreno</w:t>
            </w:r>
          </w:p>
        </w:tc>
        <w:tc>
          <w:tcPr>
            <w:tcW w:type="dxa" w:w="9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5"/>
                <w:szCs w:val="15"/>
              </w:rPr>
              <w:t xml:space="preserve">25.09.2026.</w:t>
            </w:r>
          </w:p>
        </w:tc>
      </w:tr>
    </w:tbl>
    <w:p>
      <w:pPr>
        <w:pStyle w:val="Heading1"/>
      </w:pPr>
      <w:r>
        <w:t xml:space="preserve">ZAPIS PREISPITIVANJA I OCJENA UČINKOVITOSTI MJERA</w:t>
      </w:r>
    </w:p>
    <w:tbl>
      <w:tblPr>
        <w:tblStyle w:val="GridTable3-Accent2"/>
        <w:tblW w:w="14300" w:type="dxa"/>
        <w:tblLayout w:type="fixed"/>
        <w:tblLook w:firstColumn="0" w:firstRow="1" w:lastColumn="0" w:lastRow="0" w:noHBand="0" w:noVBand="1" w:val="04A0"/>
      </w:tblPr>
      <w:tblGrid>
        <w:gridCol w:w="1100"/>
        <w:gridCol w:w="3300"/>
        <w:gridCol w:w="1800"/>
        <w:gridCol w:w="6500"/>
        <w:gridCol w:w="1600"/>
      </w:tblGrid>
      <w:tr>
        <w:trPr>
          <w:cantSplit/>
          <w:tblHeader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Datum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Povod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Opseg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Rezultat i ocjena učinkovitosti mjera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Proveo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10.11.2025.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Uspostava IMS-a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Svi procesi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Izrađen registar v1.0.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25.09.2026.</w:t>
            </w:r>
          </w:p>
        </w:tc>
        <w:tc>
          <w:tcPr>
            <w:tcW w:type="dxa" w:w="33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Preuzimanje projekta rekonstrukcije DV Pčelica (zapažanje 2 internog audita, ZAP-IA-03 od 14.09.2026.).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Zapažanja DNV-a RENRAJ-0001 i RENRAJ-0003.</w:t>
            </w:r>
          </w:p>
        </w:tc>
        <w:tc>
          <w:tcPr>
            <w:tcW w:type="dxa" w:w="18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Cijeli registar, svi ključni procesi</w:t>
            </w:r>
          </w:p>
        </w:tc>
        <w:tc>
          <w:tcPr>
            <w:tcW w:type="dxa" w:w="65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Objedinjene ranije evidencije; uveden jedinstveni kriterij V x P s pragom 10.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Dodani rizici R-12 i R-13 (rad u naselju), R-19 i R-20 do R-23 (klimatske promjene) te prilike P-01 do P-11.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R-15: mjere djelomično učinkovite; na vježbi 14.09.2026. oprema za zadržavanje nije bila na predviđenom mjestu, korektivne radnje iz ZAP-VJ-01 su otvorene.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R-09: terenska provjera PKI i kontrolnih točaka planirana je u sljedećem ciklusu internog audita.</w:t>
            </w:r>
          </w:p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Učinkovitost ostalih mjera ocjenjuje se na sljedećoj upravinoj ocjeni.</w:t>
            </w:r>
          </w:p>
        </w:tc>
        <w:tc>
          <w:tcPr>
            <w:tcW w:type="dxa" w:w="1600"/>
          </w:tcPr>
          <w:p>
            <w:pPr>
              <w:spacing w:after="0"/>
              <w:jc w:val="left"/>
            </w:pPr>
            <w:r>
              <w:rPr>
                <w:rFonts w:ascii="Aptos" w:hAnsi="Aptos"/>
                <w:sz w:val="16"/>
                <w:szCs w:val="16"/>
              </w:rPr>
              <w:t xml:space="preserve">MR uz HSE referenta</w:t>
            </w:r>
          </w:p>
        </w:tc>
      </w:tr>
    </w:tbl>
    <w:p>
      <w:pPr>
        <w:spacing w:after="60" w:before="80"/>
        <w:jc w:val="both"/>
      </w:pPr>
      <w:r>
        <w:rPr>
          <w:rFonts w:ascii="Aptos" w:hAnsi="Aptos"/>
          <w:b/>
          <w:bCs/>
          <w:sz w:val="22"/>
          <w:szCs w:val="22"/>
        </w:rPr>
        <w:t xml:space="preserve">Sljedeće preispitivanje: </w:t>
      </w:r>
      <w:r>
        <w:rPr>
          <w:rFonts w:ascii="Aptos" w:hAnsi="Aptos"/>
          <w:sz w:val="22"/>
          <w:szCs w:val="22"/>
        </w:rPr>
        <w:t xml:space="preserve">pri sljedećem novom ugovoru ili bitnoj promjeni, a najkasnije na upravinoj ocjeni u 2027. godini.</w:t>
      </w:r>
    </w:p>
    <w:p>
      <w:pPr>
        <w:pStyle w:val="Heading1"/>
      </w:pPr>
      <w:r>
        <w:t xml:space="preserve">POVEZANI DOKUMENTI</w:t>
      </w:r>
    </w:p>
    <w:p>
      <w:pPr>
        <w:spacing w:after="60"/>
        <w:jc w:val="both"/>
      </w:pPr>
      <w:r>
        <w:rPr>
          <w:rFonts w:ascii="Aptos" w:hAnsi="Aptos"/>
          <w:sz w:val="20"/>
          <w:szCs w:val="20"/>
        </w:rPr>
        <w:t xml:space="preserve">PRIR-IMS-01 Priručnik IMS-a (Kontekst organizacije, Planiranje); PROC-IMS-01 Upravljanje dokumentima i zapisima; PROC-IMS-07 Identifikacija aspekata okoliša i usklađenost s propisima; AO-IMS-01 Matrica aspekata i rizika okoliša; FRM-IMS-08 Registar zakonskih zahtjeva; PUZ-IMS-01 Procjena usklađenosti; PROC-IMS-09 i PLAN-IIZS Pripravnost i odgovor u izvanrednim situacijama; PROC-M1 Upravina ocjena; PROG-PB Program poboljšanja; CILJ-IMS-01 Ciljevi; OBR-IA-IMS-01 Checklista za interni audit; TEHMA-IMS-Registar, list REG-DION.</w:t>
      </w:r>
    </w:p>
    <w:sectPr w:rsidR="00C52B0D" w:rsidRPr="00C52B0D" w:rsidSect="00AB131A">
      <w:headerReference w:type="default" r:id="rId10"/>
      <w:footerReference w:type="default" r:id="rId11"/>
      <w:pgSz w:w="16840" w:h="11900" w:orient="landscape"/>
      <w:pgMar w:top="1134" w:right="1325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7931867E">
              <wp:simplePos x="0" y="0"/>
              <wp:positionH relativeFrom="column">
                <wp:posOffset>0</wp:posOffset>
              </wp:positionH>
              <wp:positionV relativeFrom="paragraph">
                <wp:posOffset>-268703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2E6FE785" w:rsidR="00E637EC" w:rsidRPr="009C5215" w:rsidRDefault="00E9308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Registar rizika i prilika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v1.2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=""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1.15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" filled="f" stroked="f" strokeweight=".5pt">
              <v:textbox inset=",,,0">
                <w:txbxContent>
                  <w:p w14:paraId="6789BF80" w14:textId="2E6FE785" w:rsidR="00E637EC" w:rsidRPr="009C5215" w:rsidRDefault="00E9308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Registar rizika i prilika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v1.2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99DE" w14:textId="77777777" w:rsidR="00AB131A" w:rsidRDefault="00AB131A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2F8914" wp14:editId="606DD062">
              <wp:simplePos x="0" y="0"/>
              <wp:positionH relativeFrom="column">
                <wp:posOffset>-1905</wp:posOffset>
              </wp:positionH>
              <wp:positionV relativeFrom="paragraph">
                <wp:posOffset>-166433</wp:posOffset>
              </wp:positionV>
              <wp:extent cx="9227128" cy="361315"/>
              <wp:effectExtent l="0" t="0" r="0" b="6985"/>
              <wp:wrapNone/>
              <wp:docPr id="2144763216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27128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AD67D" w14:textId="5266BB18" w:rsidR="00AB131A" w:rsidRPr="009C5215" w:rsidRDefault="00E9308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Registar rizika i prilika</w:t>
                          </w:r>
                        </w:p>
                        <w:p w14:paraId="483336C3" w14:textId="77777777" w:rsidR="00AB131A" w:rsidRPr="009C5215" w:rsidRDefault="00AB131A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v1.2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="">
          <w:pict>
            <v:shapetype w14:anchorId="512F89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15pt;margin-top:-13.1pt;width:726.55pt;height:28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" filled="f" stroked="f" strokeweight=".5pt">
              <v:textbox inset=",,,0">
                <w:txbxContent>
                  <w:p w14:paraId="2CEAD67D" w14:textId="5266BB18" w:rsidR="00AB131A" w:rsidRPr="009C5215" w:rsidRDefault="00E9308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Registar rizika i prilika</w:t>
                    </w:r>
                  </w:p>
                  <w:p w14:paraId="483336C3" w14:textId="77777777" w:rsidR="00AB131A" w:rsidRPr="009C5215" w:rsidRDefault="00AB131A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v1.2</w:t>
                    </w:r>
                  </w:p>
                </w:txbxContent>
              </v:textbox>
            </v:shape>
          </w:pict>
        </mc:Fallback>
      </mc:AlternateContent>
    </w:r>
    <w:r w:rsidRPr="00C02112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760BBE8" wp14:editId="35158A93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93597359" name="Rectangle 935973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C8B715" w14:textId="77777777" w:rsidR="00AB131A" w:rsidRPr="00397DFB" w:rsidRDefault="00AB131A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rect w14:anchorId="5760BBE8" id="Rectangle 93597359" o:spid="_x0000_s1029" style="position:absolute;margin-left:0;margin-top:-1.75pt;width:36pt;height:25.2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" fillcolor="#ce181e" stroked="f" strokeweight="3pt">
              <v:textbox>
                <w:txbxContent>
                  <w:p w14:paraId="6FC8B715" w14:textId="77777777" w:rsidR="00AB131A" w:rsidRPr="00397DFB" w:rsidRDefault="00AB131A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B95E570" w:rsidR="00E637EC" w:rsidRPr="00032956" w:rsidRDefault="00BD7513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 xml:space="preserve">Registar rizika i prilika</w:t>
          </w:r>
          <w:r w:rsidR="00C52B0D" w:rsidRPr="00C52B0D">
            <w:rPr>
              <w:rFonts w:ascii="Aptos" w:hAnsi="Aptos"/>
              <w:b/>
              <w:iCs/>
              <w:szCs w:val="20"/>
            </w:rPr>
            <w:t xml:space="preserve"/>
          </w:r>
          <w:r>
            <w:rPr>
              <w:rFonts w:ascii="Aptos" w:hAnsi="Aptos"/>
              <w:b/>
              <w:iCs/>
              <w:szCs w:val="20"/>
            </w:rPr>
            <w:t xml:space="preserve"/>
          </w:r>
          <w:r w:rsidR="00C52B0D" w:rsidRPr="00C52B0D">
            <w:rPr>
              <w:rFonts w:ascii="Aptos" w:hAnsi="Aptos"/>
              <w:b/>
              <w:iCs/>
              <w:szCs w:val="20"/>
            </w:rPr>
            <w:t xml:space="preserve"/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2D3DCA68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  <w:t xml:space="preserve">RIZ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-IMS-</w:t>
          </w:r>
          <w:r w:rsidR="0052572B">
            <w:rPr>
              <w:rFonts w:ascii="Aptos" w:hAnsi="Aptos"/>
              <w:b/>
              <w:bCs/>
              <w:sz w:val="18"/>
              <w:szCs w:val="18"/>
            </w:rPr>
            <w:t xml:space="preserve">01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1.2 / 26.09.2026.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7938"/>
      <w:gridCol w:w="3119"/>
    </w:tblGrid>
    <w:tr w:rsidR="00C52B0D" w:rsidRPr="00032956" w14:paraId="74559B3B" w14:textId="77777777" w:rsidTr="00AB131A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3F9ECC4E" w14:textId="77777777" w:rsidR="00C52B0D" w:rsidRPr="00567495" w:rsidRDefault="00C52B0D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283D0C88" wp14:editId="491677A0">
                <wp:extent cx="1863233" cy="471354"/>
                <wp:effectExtent l="0" t="0" r="3810" b="0"/>
                <wp:docPr id="280704114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4A10B53C" w14:textId="77777777" w:rsidR="00C52B0D" w:rsidRPr="00032956" w:rsidRDefault="00C52B0D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52B0D">
            <w:rPr>
              <w:rFonts w:ascii="Aptos" w:hAnsi="Aptos"/>
              <w:b/>
              <w:iCs/>
              <w:szCs w:val="20"/>
            </w:rPr>
            <w:t xml:space="preserve">Registar rizika i prilika</w:t>
          </w:r>
        </w:p>
      </w:tc>
      <w:tc>
        <w:tcPr>
          <w:tcW w:w="3119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E05A406" w14:textId="77777777" w:rsidR="00C52B0D" w:rsidRPr="008E7651" w:rsidRDefault="00C52B0D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t xml:space="preserve">RIZ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 xml:space="preserve">-IMS-</w:t>
          </w:r>
          <w:r>
            <w:rPr>
              <w:rFonts w:ascii="Aptos" w:hAnsi="Aptos"/>
              <w:b/>
              <w:bCs/>
              <w:sz w:val="18"/>
              <w:szCs w:val="18"/>
            </w:rPr>
            <w:t xml:space="preserve">01</w:t>
          </w:r>
        </w:p>
        <w:p w14:paraId="3972633B" w14:textId="77777777" w:rsidR="00C52B0D" w:rsidRPr="008E7651" w:rsidRDefault="00C52B0D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C52B0D" w:rsidRPr="00032956" w14:paraId="684EAC16" w14:textId="77777777" w:rsidTr="00AB131A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13312D9B" w14:textId="77777777" w:rsidR="00C52B0D" w:rsidRDefault="00C52B0D" w:rsidP="00E637EC">
          <w:pPr>
            <w:jc w:val="center"/>
          </w:pPr>
        </w:p>
      </w:tc>
      <w:tc>
        <w:tcPr>
          <w:tcW w:w="7938" w:type="dxa"/>
          <w:vMerge/>
          <w:tcBorders>
            <w:top w:val="nil"/>
            <w:bottom w:val="single" w:sz="12" w:space="0" w:color="auto"/>
          </w:tcBorders>
          <w:vAlign w:val="center"/>
        </w:tcPr>
        <w:p w14:paraId="60AF60DC" w14:textId="77777777" w:rsidR="00C52B0D" w:rsidRPr="00032956" w:rsidRDefault="00C52B0D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9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4323B1B0" w14:textId="77777777" w:rsidR="00C52B0D" w:rsidRPr="008E7651" w:rsidRDefault="00C52B0D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B6477A4" w14:textId="77777777" w:rsidR="00C52B0D" w:rsidRPr="008E7651" w:rsidRDefault="00C52B0D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1.2 / 26.09.2026.</w:t>
          </w:r>
        </w:p>
      </w:tc>
    </w:tr>
  </w:tbl>
  <w:p w14:paraId="2D2CBC35" w14:textId="77777777" w:rsidR="00C52B0D" w:rsidRPr="00F52312" w:rsidRDefault="00C52B0D" w:rsidP="00E637EC">
    <w:pPr>
      <w:pStyle w:val="Header"/>
      <w:rPr>
        <w:sz w:val="15"/>
        <w:szCs w:val="15"/>
      </w:rPr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4F7E"/>
    <w:multiLevelType w:val="hybridMultilevel"/>
    <w:tmpl w:val="900C8A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25537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E184A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87F16"/>
    <w:multiLevelType w:val="multilevel"/>
    <w:tmpl w:val="A828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1493F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C2775"/>
    <w:multiLevelType w:val="multilevel"/>
    <w:tmpl w:val="FF0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620C8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4E306BA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4B31202"/>
    <w:multiLevelType w:val="multilevel"/>
    <w:tmpl w:val="6A7A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9"/>
  </w:num>
  <w:num w:numId="2" w16cid:durableId="438990137">
    <w:abstractNumId w:val="7"/>
  </w:num>
  <w:num w:numId="3" w16cid:durableId="1732340260">
    <w:abstractNumId w:val="5"/>
  </w:num>
  <w:num w:numId="4" w16cid:durableId="1288388349">
    <w:abstractNumId w:val="4"/>
  </w:num>
  <w:num w:numId="5" w16cid:durableId="474027256">
    <w:abstractNumId w:val="3"/>
  </w:num>
  <w:num w:numId="6" w16cid:durableId="647393657">
    <w:abstractNumId w:val="0"/>
  </w:num>
  <w:num w:numId="7" w16cid:durableId="1057705356">
    <w:abstractNumId w:val="6"/>
  </w:num>
  <w:num w:numId="8" w16cid:durableId="1167675079">
    <w:abstractNumId w:val="8"/>
  </w:num>
  <w:num w:numId="9" w16cid:durableId="1945265752">
    <w:abstractNumId w:val="1"/>
  </w:num>
  <w:num w:numId="10" w16cid:durableId="2134210179">
    <w:abstractNumId w:val="2"/>
  </w:num>
  <w:num w:numId="11" w16cid:durableId="20428508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04D0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167AB"/>
    <w:rsid w:val="002228D9"/>
    <w:rsid w:val="00222C5D"/>
    <w:rsid w:val="00254C12"/>
    <w:rsid w:val="00260B99"/>
    <w:rsid w:val="00263E55"/>
    <w:rsid w:val="00264CB2"/>
    <w:rsid w:val="0028485F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2EE8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2572B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96AB6"/>
    <w:rsid w:val="005C606A"/>
    <w:rsid w:val="005C612D"/>
    <w:rsid w:val="005C7262"/>
    <w:rsid w:val="005D12EA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15829"/>
    <w:rsid w:val="007220C0"/>
    <w:rsid w:val="00746221"/>
    <w:rsid w:val="007603C3"/>
    <w:rsid w:val="00765643"/>
    <w:rsid w:val="0078189F"/>
    <w:rsid w:val="007B2B8C"/>
    <w:rsid w:val="007C205F"/>
    <w:rsid w:val="007E277B"/>
    <w:rsid w:val="007E5D7A"/>
    <w:rsid w:val="007F4535"/>
    <w:rsid w:val="007F4B03"/>
    <w:rsid w:val="008054C1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90174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131A"/>
    <w:rsid w:val="00AB3261"/>
    <w:rsid w:val="00AC683A"/>
    <w:rsid w:val="00AC6C72"/>
    <w:rsid w:val="00AE4995"/>
    <w:rsid w:val="00AE560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D7513"/>
    <w:rsid w:val="00BE2B4D"/>
    <w:rsid w:val="00BF08DE"/>
    <w:rsid w:val="00BF18E7"/>
    <w:rsid w:val="00BF4605"/>
    <w:rsid w:val="00C044E7"/>
    <w:rsid w:val="00C05D44"/>
    <w:rsid w:val="00C1145B"/>
    <w:rsid w:val="00C1456F"/>
    <w:rsid w:val="00C15106"/>
    <w:rsid w:val="00C26EA9"/>
    <w:rsid w:val="00C351F9"/>
    <w:rsid w:val="00C52B0D"/>
    <w:rsid w:val="00C664B3"/>
    <w:rsid w:val="00C77E60"/>
    <w:rsid w:val="00C8213D"/>
    <w:rsid w:val="00CB6BBD"/>
    <w:rsid w:val="00CC081D"/>
    <w:rsid w:val="00CD1772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33D09"/>
    <w:rsid w:val="00D637D4"/>
    <w:rsid w:val="00D8344F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91DA5"/>
    <w:rsid w:val="00E9308C"/>
    <w:rsid w:val="00EA604F"/>
    <w:rsid w:val="00EC0760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B039B"/>
    <w:rsid w:val="00FB5B09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3-Accent1">
    <w:name w:val="Grid Table 3 Accent 1"/>
    <w:basedOn w:val="TableNormal"/>
    <w:uiPriority w:val="48"/>
    <w:rsid w:val="00FB039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15" Type="http://schemas.openxmlformats.org/officeDocument/2006/relationships/header" Target="header4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475</Words>
  <Characters>2918</Characters>
  <Application>Microsoft Office Word</Application>
  <DocSecurity>0</DocSecurity>
  <Lines>243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Registar rizika i prilika</dc:title>
  <dc:subject>Jedinstveni mjerodavni registar rizika i prilika IMS-a (ISO 9001 i ISO 14001, t. 6.1)</dc:subject>
  <dc:creator>Daniel Bara</dc:creator>
  <cp:keywords>RIZ-IMS-01</cp:keywords>
  <dc:description>Izdanje 1.1 od 25.09.2026.</dc:description>
  <cp:lastModifiedBy>Daniel Bara</cp:lastModifiedBy>
  <cp:revision>11</cp:revision>
  <dcterms:created xsi:type="dcterms:W3CDTF">2025-11-29T20:57:00Z</dcterms:created>
  <dcterms:modified xsi:type="dcterms:W3CDTF">2026-09-25T10:00:00Z</dcterms:modified>
  <cp:version>1.1</cp:version>
</cp:coreProperties>
</file>